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41" w:rsidRPr="00750041" w:rsidRDefault="00750041" w:rsidP="00750041">
      <w:pPr>
        <w:pStyle w:val="1"/>
        <w:spacing w:before="0" w:beforeAutospacing="0" w:after="300" w:afterAutospacing="0"/>
        <w:jc w:val="both"/>
        <w:rPr>
          <w:bCs w:val="0"/>
          <w:color w:val="405965"/>
          <w:sz w:val="28"/>
          <w:szCs w:val="28"/>
        </w:rPr>
      </w:pPr>
      <w:r w:rsidRPr="00750041">
        <w:rPr>
          <w:bCs w:val="0"/>
          <w:color w:val="405965"/>
          <w:sz w:val="28"/>
          <w:szCs w:val="28"/>
        </w:rPr>
        <w:t xml:space="preserve">В России зарегистрировались 5 </w:t>
      </w:r>
      <w:proofErr w:type="spellStart"/>
      <w:proofErr w:type="gramStart"/>
      <w:r w:rsidRPr="00750041">
        <w:rPr>
          <w:bCs w:val="0"/>
          <w:color w:val="405965"/>
          <w:sz w:val="28"/>
          <w:szCs w:val="28"/>
        </w:rPr>
        <w:t>млн</w:t>
      </w:r>
      <w:proofErr w:type="spellEnd"/>
      <w:proofErr w:type="gramEnd"/>
      <w:r w:rsidRPr="00750041">
        <w:rPr>
          <w:bCs w:val="0"/>
          <w:color w:val="405965"/>
          <w:sz w:val="28"/>
          <w:szCs w:val="28"/>
        </w:rPr>
        <w:t xml:space="preserve"> </w:t>
      </w:r>
      <w:proofErr w:type="spellStart"/>
      <w:r w:rsidRPr="00750041">
        <w:rPr>
          <w:bCs w:val="0"/>
          <w:color w:val="405965"/>
          <w:sz w:val="28"/>
          <w:szCs w:val="28"/>
        </w:rPr>
        <w:t>самозанятых</w:t>
      </w:r>
      <w:proofErr w:type="spellEnd"/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 xml:space="preserve">Число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 в России достигло 5 миллионов. Ежедневный прирост составляет 8,5 тысяч человек. С начала эксперимента в 2019 году </w:t>
      </w:r>
      <w:proofErr w:type="spellStart"/>
      <w:r w:rsidRPr="00750041">
        <w:rPr>
          <w:color w:val="405965"/>
          <w:sz w:val="28"/>
          <w:szCs w:val="28"/>
        </w:rPr>
        <w:t>самозанятые</w:t>
      </w:r>
      <w:proofErr w:type="spellEnd"/>
      <w:r w:rsidRPr="00750041">
        <w:rPr>
          <w:color w:val="405965"/>
          <w:sz w:val="28"/>
          <w:szCs w:val="28"/>
        </w:rPr>
        <w:t xml:space="preserve"> зарегистрировали доходы на сумму 1,1 </w:t>
      </w:r>
      <w:proofErr w:type="gramStart"/>
      <w:r w:rsidRPr="00750041">
        <w:rPr>
          <w:color w:val="405965"/>
          <w:sz w:val="28"/>
          <w:szCs w:val="28"/>
        </w:rPr>
        <w:t>трлн</w:t>
      </w:r>
      <w:proofErr w:type="gramEnd"/>
      <w:r w:rsidRPr="00750041">
        <w:rPr>
          <w:color w:val="405965"/>
          <w:sz w:val="28"/>
          <w:szCs w:val="28"/>
        </w:rPr>
        <w:t xml:space="preserve"> рублей и уплатили налоги на 40 млрд рублей. Общий доход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 в день составляет более 2 </w:t>
      </w:r>
      <w:proofErr w:type="gramStart"/>
      <w:r w:rsidRPr="00750041">
        <w:rPr>
          <w:color w:val="405965"/>
          <w:sz w:val="28"/>
          <w:szCs w:val="28"/>
        </w:rPr>
        <w:t>млрд</w:t>
      </w:r>
      <w:proofErr w:type="gramEnd"/>
      <w:r w:rsidRPr="00750041">
        <w:rPr>
          <w:color w:val="405965"/>
          <w:sz w:val="28"/>
          <w:szCs w:val="28"/>
        </w:rPr>
        <w:t xml:space="preserve"> рублей.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 привлекает возможность работать и зарабатывать легально, а самое главное, регистрация, выдача чеков, уплата налогов – все происходит в мобильном приложении буквально в несколько кликов.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 xml:space="preserve">По данным ФНС России средний возраст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 составляет 35 лет. Самому молодому - 14 лет, а самому пожилому </w:t>
      </w:r>
      <w:proofErr w:type="spellStart"/>
      <w:r w:rsidRPr="00750041">
        <w:rPr>
          <w:color w:val="405965"/>
          <w:sz w:val="28"/>
          <w:szCs w:val="28"/>
        </w:rPr>
        <w:t>самозанятому</w:t>
      </w:r>
      <w:proofErr w:type="spellEnd"/>
      <w:r w:rsidRPr="00750041">
        <w:rPr>
          <w:color w:val="405965"/>
          <w:sz w:val="28"/>
          <w:szCs w:val="28"/>
        </w:rPr>
        <w:t xml:space="preserve"> исполнилось 94 года.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proofErr w:type="gramStart"/>
      <w:r w:rsidRPr="00750041">
        <w:rPr>
          <w:color w:val="405965"/>
          <w:sz w:val="28"/>
          <w:szCs w:val="28"/>
        </w:rPr>
        <w:t xml:space="preserve">Больше всего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 зарегистрировано в Москве, Московской области, Санкт-Петербурге, Краснодарском крае, Татарстане, Свердловской, Ростовской, Самарской, Новосибирской областях и Башкортостане.</w:t>
      </w:r>
      <w:proofErr w:type="gramEnd"/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 xml:space="preserve">Основные направления деятельности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>: услуги такси, доставка товаров, аренда квартир, ремонтные и маркетинговые услуги, а также продажа продукции собственного производства.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>Наиболее высокооплачиваемые профессии — IT-специалист, финансист, юрист, консультант, проектировщик, строитель.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 xml:space="preserve">Максимальный доход на одного </w:t>
      </w:r>
      <w:proofErr w:type="spellStart"/>
      <w:r w:rsidRPr="00750041">
        <w:rPr>
          <w:color w:val="405965"/>
          <w:sz w:val="28"/>
          <w:szCs w:val="28"/>
        </w:rPr>
        <w:t>самозанятого</w:t>
      </w:r>
      <w:proofErr w:type="spellEnd"/>
      <w:r w:rsidRPr="00750041">
        <w:rPr>
          <w:color w:val="405965"/>
          <w:sz w:val="28"/>
          <w:szCs w:val="28"/>
        </w:rPr>
        <w:t xml:space="preserve"> отмечается в Москве, Чукотском автономном округе, Московской области, Санкт-Петербурге, Республике Татарстан, Ямало-Ненецком автономном округе, Калужской, Ленинградской, Калининградской, Сахалинской областях.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 xml:space="preserve">Около 23%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 ведут деятельность вне региона своей прописки. Большинство приезжают на заработки в Москву, Московскую область, Санкт-Петербург, Краснодарский край и Ленинградскую область.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 xml:space="preserve">Кроме того, </w:t>
      </w:r>
      <w:proofErr w:type="spellStart"/>
      <w:r w:rsidRPr="00750041">
        <w:rPr>
          <w:color w:val="405965"/>
          <w:sz w:val="28"/>
          <w:szCs w:val="28"/>
        </w:rPr>
        <w:t>самозанятые</w:t>
      </w:r>
      <w:proofErr w:type="spellEnd"/>
      <w:r w:rsidRPr="00750041">
        <w:rPr>
          <w:color w:val="405965"/>
          <w:sz w:val="28"/>
          <w:szCs w:val="28"/>
        </w:rPr>
        <w:t xml:space="preserve"> активно пользуются услугами банков и электронных площадок-партнеров проекта. Сейчас к платформе </w:t>
      </w:r>
      <w:proofErr w:type="gramStart"/>
      <w:r w:rsidRPr="00750041">
        <w:rPr>
          <w:color w:val="405965"/>
          <w:sz w:val="28"/>
          <w:szCs w:val="28"/>
        </w:rPr>
        <w:t>подключены</w:t>
      </w:r>
      <w:proofErr w:type="gramEnd"/>
      <w:r w:rsidRPr="00750041">
        <w:rPr>
          <w:color w:val="405965"/>
          <w:sz w:val="28"/>
          <w:szCs w:val="28"/>
        </w:rPr>
        <w:t xml:space="preserve"> 84 участника. Почти каждый второй </w:t>
      </w:r>
      <w:proofErr w:type="spellStart"/>
      <w:r w:rsidRPr="00750041">
        <w:rPr>
          <w:color w:val="405965"/>
          <w:sz w:val="28"/>
          <w:szCs w:val="28"/>
        </w:rPr>
        <w:t>самозанятый</w:t>
      </w:r>
      <w:proofErr w:type="spellEnd"/>
      <w:r w:rsidRPr="00750041">
        <w:rPr>
          <w:color w:val="405965"/>
          <w:sz w:val="28"/>
          <w:szCs w:val="28"/>
        </w:rPr>
        <w:t xml:space="preserve"> работает через их программные продукты, более трети всех доходов </w:t>
      </w:r>
      <w:proofErr w:type="spellStart"/>
      <w:r w:rsidRPr="00750041">
        <w:rPr>
          <w:color w:val="405965"/>
          <w:sz w:val="28"/>
          <w:szCs w:val="28"/>
        </w:rPr>
        <w:t>самозанятых</w:t>
      </w:r>
      <w:proofErr w:type="spellEnd"/>
      <w:r w:rsidRPr="00750041">
        <w:rPr>
          <w:color w:val="405965"/>
          <w:sz w:val="28"/>
          <w:szCs w:val="28"/>
        </w:rPr>
        <w:t xml:space="preserve"> регистрируются через программные продукты партнеров без использования приложения «Мой налог».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>Налог на профессиональный доход стал фундаментом для нового проекта «Автоматизированная упрощенная система налогообложения», который стартует с 1 июля 2022 года.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>Пресс-служба ИФНС России по г. Сургуту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Ханты-Мансийского автономного округа-Югры</w:t>
      </w:r>
    </w:p>
    <w:p w:rsidR="00905B87" w:rsidRPr="00750041" w:rsidRDefault="00905B87" w:rsidP="0075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pStyle w:val="1"/>
        <w:spacing w:before="0" w:beforeAutospacing="0" w:after="300" w:afterAutospacing="0"/>
        <w:jc w:val="both"/>
        <w:rPr>
          <w:bCs w:val="0"/>
          <w:color w:val="405965"/>
          <w:sz w:val="28"/>
          <w:szCs w:val="28"/>
        </w:rPr>
      </w:pPr>
      <w:r w:rsidRPr="00750041">
        <w:rPr>
          <w:bCs w:val="0"/>
          <w:color w:val="405965"/>
          <w:sz w:val="28"/>
          <w:szCs w:val="28"/>
        </w:rPr>
        <w:t>ФНС России разъяснила, как исчисляется налог за земельные участки для ИЖС в собственности организаций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>Ставки по земельному налогу устанавливаются нормативными правовыми актами представительных органов муниципальных образований, представительного органа федеральной территории «Сириус» или законами городов федерального значения. По общему правилу, они не могут превышать 0,3% кадастровой стоимости для земельных участков, занятых жилищным фондом и объектами инженерной инфраструктуры ЖКХ или приобретенных для жилищного строительства.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>При этом предельный размер налоговой ставки не зависит от того, в чьей собственности находится такой земельный участок. Подтвердить размещение объектов жилищного фонда на налогооблагаемом земельном участке можно с помощью сведений Единого государственного реестра недвижимости, документов, подтверждающих государственный учет и (или) техническую инвентаризацию ранее учтенных объектов недвижимости, и т.п.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>К исключениям из указанного правила о предельной налоговой ставке, не превышающей 0,3%, относятся:</w:t>
      </w:r>
    </w:p>
    <w:p w:rsidR="00750041" w:rsidRPr="00750041" w:rsidRDefault="00750041" w:rsidP="00750041">
      <w:pPr>
        <w:numPr>
          <w:ilvl w:val="0"/>
          <w:numId w:val="2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части земельного участка, приходящиеся на объект, не относящийся к жилищному фонду и к объектам инженерной инфраструктуры ЖКХ;</w:t>
      </w:r>
    </w:p>
    <w:p w:rsidR="00750041" w:rsidRPr="00750041" w:rsidRDefault="00750041" w:rsidP="0075004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земельные участки, незанятые жилищным фондом и объектами инженерной инфраструктуры ЖКХ и приобретенные (предоставленные) для индивидуального жилищного строительства (ИЖС), которые используются в предпринимательской деятельности.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t>Так, для земельных участков под ИЖС, используемых в предпринимательской деятельности, где не размещены объекты жилищного фонда и инженерной инфраструктуры ЖКХ, предельная налоговая ставка не может превышать 1,5% как для «прочих земельных участков». При этом о коммерческом характере землепользования может свидетельствовать:</w:t>
      </w:r>
    </w:p>
    <w:p w:rsidR="00750041" w:rsidRPr="00750041" w:rsidRDefault="00750041" w:rsidP="00750041">
      <w:pPr>
        <w:numPr>
          <w:ilvl w:val="0"/>
          <w:numId w:val="2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принадлежность земельных участков коммерческой организации, не осуществляющей жилищное строительство, чьим основным видом деятельности является продажа недвижимости;</w:t>
      </w:r>
    </w:p>
    <w:p w:rsidR="00750041" w:rsidRPr="00750041" w:rsidRDefault="00750041" w:rsidP="00750041">
      <w:pPr>
        <w:numPr>
          <w:ilvl w:val="0"/>
          <w:numId w:val="2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возможное наличие на такой территории вспомогательной инфраструктуры (дорог, ограждений, проведение электричества, коммуникаций и т.п.), подтверждающее землепользование для извлечения прибыли от возмездной реализации незастроенных земельных участков;</w:t>
      </w:r>
    </w:p>
    <w:p w:rsidR="00750041" w:rsidRPr="00750041" w:rsidRDefault="00750041" w:rsidP="00750041">
      <w:pPr>
        <w:numPr>
          <w:ilvl w:val="0"/>
          <w:numId w:val="22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факты систематической продажи указанных земельных участков.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8"/>
          <w:szCs w:val="28"/>
        </w:rPr>
      </w:pPr>
      <w:r w:rsidRPr="00750041">
        <w:rPr>
          <w:color w:val="405965"/>
          <w:sz w:val="28"/>
          <w:szCs w:val="28"/>
        </w:rPr>
        <w:lastRenderedPageBreak/>
        <w:t>Соответствующие разъяснения размещены на сайте ФНС России.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>Пресс-служба ИФНС России по г. Сургуту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 xml:space="preserve"> Ханты-Мансийского автономного округа-Югры</w:t>
      </w:r>
    </w:p>
    <w:p w:rsidR="00750041" w:rsidRPr="00750041" w:rsidRDefault="00750041" w:rsidP="0075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pStyle w:val="1"/>
        <w:spacing w:before="0" w:beforeAutospacing="0" w:after="300" w:afterAutospacing="0"/>
        <w:jc w:val="both"/>
        <w:rPr>
          <w:bCs w:val="0"/>
          <w:color w:val="405965"/>
          <w:sz w:val="28"/>
          <w:szCs w:val="28"/>
        </w:rPr>
      </w:pPr>
      <w:r w:rsidRPr="00750041">
        <w:rPr>
          <w:bCs w:val="0"/>
          <w:color w:val="405965"/>
          <w:sz w:val="28"/>
          <w:szCs w:val="28"/>
        </w:rPr>
        <w:t>ВТБ присоединился к эксперименту по апробации технологии обмена машиночитаемыми доверенностями ФНС России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Федеральная налоговая служба и ПАО ВТБ подписали дорожную карту по апробации единой технологии обмена машиночитаемыми электронными доверенностями через </w:t>
      </w:r>
      <w:proofErr w:type="spellStart"/>
      <w:r w:rsidRPr="00750041">
        <w:rPr>
          <w:sz w:val="28"/>
          <w:szCs w:val="28"/>
        </w:rPr>
        <w:t>блокчейн-платформу</w:t>
      </w:r>
      <w:proofErr w:type="spellEnd"/>
      <w:r w:rsidRPr="00750041">
        <w:rPr>
          <w:sz w:val="28"/>
          <w:szCs w:val="28"/>
        </w:rPr>
        <w:t xml:space="preserve"> ФНС России.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«Задача ВТБ – обеспечить полный комплекс услуг для бизнеса, необходимый для работы по действующему законодательству, поэтому мы заинтересованы в том, чтобы переход на машиночитаемые доверенности был простым и удобным. Использование МЧД позволит сократить время на проверку полномочий клиента и избавит его от необходимости визита в офис для первичного предоставления доверенности. Участие в эксперименте ФНС по апробации технологии позволит нам настроить необходимые процессы, запустить сервис и в дальнейшем ускорить обслуживание своих клиентов», − заявил руководитель департамента корпоративного цифрового бизнеса − старший вице-президент ВТБ </w:t>
      </w:r>
      <w:r w:rsidRPr="00750041">
        <w:rPr>
          <w:rStyle w:val="a4"/>
          <w:sz w:val="28"/>
          <w:szCs w:val="28"/>
        </w:rPr>
        <w:t>Спартак Солонин</w:t>
      </w:r>
      <w:r w:rsidRPr="00750041">
        <w:rPr>
          <w:sz w:val="28"/>
          <w:szCs w:val="28"/>
        </w:rPr>
        <w:t>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0041">
        <w:rPr>
          <w:sz w:val="28"/>
          <w:szCs w:val="28"/>
        </w:rPr>
        <w:t>«При переходе на использование машиночитаемой доверенности важно создать экосистему, которая свяжет ключевых участников со стороны бизнеса и государства. Это позволит использовать единые технологии проверки полномочий. Для нас важно, что такой крупный игрок, как ВТБ, присоединился к эксперименту. Мы видим в таком сотрудничестве возможность реализовать для конечного потребителя максимально удобный и доступный сервис», - отметил начальник Управления электронного документооборота ФНС России </w:t>
      </w:r>
      <w:r w:rsidRPr="00750041">
        <w:rPr>
          <w:rStyle w:val="a4"/>
          <w:sz w:val="28"/>
          <w:szCs w:val="28"/>
        </w:rPr>
        <w:t>Федор Новиков</w:t>
      </w:r>
      <w:r w:rsidRPr="00750041">
        <w:rPr>
          <w:sz w:val="28"/>
          <w:szCs w:val="28"/>
        </w:rPr>
        <w:t>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750041">
        <w:rPr>
          <w:sz w:val="28"/>
          <w:szCs w:val="28"/>
        </w:rPr>
        <w:t xml:space="preserve">Обязательное применение машиночитаемых доверенностей юридическими лицами и индивидуальными предпринимателями планируется ввести в России с 1 января 2023 года. Сотрудники организаций и предприниматели будут подписывать документы своей личной электронной подписью. Полномочия подписанта обеспечит машиночитаемая доверенность, а технология распределенного реестра позволит оперативно уведомлять всех участников </w:t>
      </w:r>
      <w:proofErr w:type="spellStart"/>
      <w:r w:rsidRPr="00750041">
        <w:rPr>
          <w:sz w:val="28"/>
          <w:szCs w:val="28"/>
        </w:rPr>
        <w:t>блокчейн-сети</w:t>
      </w:r>
      <w:proofErr w:type="spellEnd"/>
      <w:r w:rsidRPr="00750041">
        <w:rPr>
          <w:sz w:val="28"/>
          <w:szCs w:val="28"/>
        </w:rPr>
        <w:t xml:space="preserve"> о любых изменениях с электронной доверенностью и не прикладывать саму доверенность к каждому документу.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>Пресс-служба ИФНС России по г. Сургуту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 xml:space="preserve"> Ханты-Мансийского автономного округа-Югры</w:t>
      </w: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pStyle w:val="1"/>
        <w:spacing w:before="0" w:beforeAutospacing="0" w:after="300" w:afterAutospacing="0"/>
        <w:jc w:val="both"/>
        <w:rPr>
          <w:bCs w:val="0"/>
          <w:color w:val="405965"/>
          <w:sz w:val="28"/>
          <w:szCs w:val="28"/>
        </w:rPr>
      </w:pPr>
      <w:r w:rsidRPr="00750041">
        <w:rPr>
          <w:bCs w:val="0"/>
          <w:color w:val="405965"/>
          <w:sz w:val="28"/>
          <w:szCs w:val="28"/>
        </w:rPr>
        <w:lastRenderedPageBreak/>
        <w:t>Об изменениях, внесенных в положения главы 25 Налогового кодекса Российской Федерации Федеральным законом от 16.04.2022 № 96-ФЗ</w:t>
      </w: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proofErr w:type="gramStart"/>
      <w:r w:rsidRPr="00750041">
        <w:rPr>
          <w:rFonts w:ascii="Times New Roman" w:hAnsi="Times New Roman" w:cs="Times New Roman"/>
          <w:color w:val="405965"/>
          <w:sz w:val="28"/>
          <w:szCs w:val="28"/>
        </w:rPr>
        <w:t>Федеральным законом от 16.04.2022 № 96-ФЗ «О внесении изменений в часть вторую Налогового кодекса Российской Федерации и отдельные законодательные акты Российской Федерации» внесены изменения в положения главы 25 Налогового кодекса Российской Федерации, благодаря которым на законодательном уровне урегулирован вопрос о порядке учета для целей налогообложения прибыли организаций доходов (расходов) в виде обеспечительного платежа.</w:t>
      </w:r>
      <w:proofErr w:type="gramEnd"/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8"/>
          <w:szCs w:val="28"/>
        </w:rPr>
      </w:pP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Так, с 1 января 2023 года при определении налоговой базы по налогу на прибыль организаций не будут учитываться доходы и расходы в форме обеспечительного платежа (изменения в подпункт 2 пункта 1 статьи 251 и пункт 32 статьи 270 Кодекса).</w:t>
      </w: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8"/>
          <w:szCs w:val="28"/>
        </w:rPr>
      </w:pP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8"/>
          <w:szCs w:val="28"/>
        </w:rPr>
      </w:pPr>
      <w:r w:rsidRPr="00750041">
        <w:rPr>
          <w:rFonts w:ascii="Times New Roman" w:hAnsi="Times New Roman" w:cs="Times New Roman"/>
          <w:color w:val="405965"/>
          <w:sz w:val="28"/>
          <w:szCs w:val="28"/>
        </w:rPr>
        <w:t>Кроме того, Федеральным законом № 96-ФЗ статья 282.1 Кодекса с указанной выше даты дополняется нормами, предусматривающими особенности налогообложения при осуществлении операций займа ценными бумагами и операций с ценными бумагами в рамках обеспечительного платежа.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>Пресс-служба ИФНС России по г. Сургуту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 xml:space="preserve"> Ханты-Мансийского автономного округа-Югры</w:t>
      </w: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750041" w:rsidRDefault="00750041" w:rsidP="00750041">
      <w:pPr>
        <w:pStyle w:val="1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bCs w:val="0"/>
          <w:color w:val="444444"/>
          <w:spacing w:val="-15"/>
          <w:sz w:val="28"/>
          <w:szCs w:val="28"/>
        </w:rPr>
      </w:pPr>
      <w:r w:rsidRPr="00750041">
        <w:rPr>
          <w:bCs w:val="0"/>
          <w:color w:val="444444"/>
          <w:spacing w:val="-15"/>
          <w:sz w:val="28"/>
          <w:szCs w:val="28"/>
        </w:rPr>
        <w:t>О введении с 01.07.2022 автоматизированной упрощенной налоговой системы и особенностях ее применения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240" w:afterAutospacing="0" w:line="384" w:lineRule="atLeast"/>
        <w:jc w:val="both"/>
        <w:textAlignment w:val="baseline"/>
        <w:rPr>
          <w:color w:val="666666"/>
          <w:sz w:val="28"/>
          <w:szCs w:val="28"/>
        </w:rPr>
      </w:pPr>
      <w:r w:rsidRPr="00750041">
        <w:rPr>
          <w:color w:val="666666"/>
          <w:sz w:val="28"/>
          <w:szCs w:val="28"/>
        </w:rPr>
        <w:t xml:space="preserve">В соответствии с Федеральными законами от 25.02.2022 № 17-ФЗ «О проведении эксперимента по установлению специального налогового режима «Автоматизированная упрощенная система налогообложения» и от 25.02.2022 № 18-ФЗ «О внесении изменений в части первую и вторую Налогового кодекса Российской Федерации и отдельные законодательные акты Российской Федерации» с 01.07.2022 на территории города Москвы вводится специальный налоговый режим </w:t>
      </w:r>
      <w:proofErr w:type="gramStart"/>
      <w:r w:rsidRPr="00750041">
        <w:rPr>
          <w:color w:val="666666"/>
          <w:sz w:val="28"/>
          <w:szCs w:val="28"/>
        </w:rPr>
        <w:t>-«</w:t>
      </w:r>
      <w:proofErr w:type="gramEnd"/>
      <w:r w:rsidRPr="00750041">
        <w:rPr>
          <w:color w:val="666666"/>
          <w:sz w:val="28"/>
          <w:szCs w:val="28"/>
        </w:rPr>
        <w:t>Автоматизированная упрощенная налоговая система».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240" w:afterAutospacing="0" w:line="384" w:lineRule="atLeast"/>
        <w:jc w:val="both"/>
        <w:textAlignment w:val="baseline"/>
        <w:rPr>
          <w:color w:val="666666"/>
          <w:sz w:val="28"/>
          <w:szCs w:val="28"/>
        </w:rPr>
      </w:pPr>
      <w:r w:rsidRPr="00750041">
        <w:rPr>
          <w:color w:val="666666"/>
          <w:sz w:val="28"/>
          <w:szCs w:val="28"/>
        </w:rPr>
        <w:lastRenderedPageBreak/>
        <w:t>Организации и индивидуальные предприниматели, изъявившие желание перейти на АУСН со следующего календарного года, вправе применять АУСН при соблюдении условий, в частности:</w:t>
      </w:r>
      <w:r w:rsidRPr="00750041">
        <w:rPr>
          <w:color w:val="666666"/>
          <w:sz w:val="28"/>
          <w:szCs w:val="28"/>
        </w:rPr>
        <w:br/>
        <w:t>— доходы организации, учитываемые при определении налоговой базы, не превысили 60 млн. рублей;</w:t>
      </w:r>
      <w:r w:rsidRPr="00750041">
        <w:rPr>
          <w:color w:val="666666"/>
          <w:sz w:val="28"/>
          <w:szCs w:val="28"/>
        </w:rPr>
        <w:br/>
        <w:t>— численность наемников работников составляет не более 5 человек;</w:t>
      </w:r>
      <w:r w:rsidRPr="00750041">
        <w:rPr>
          <w:color w:val="666666"/>
          <w:sz w:val="28"/>
          <w:szCs w:val="28"/>
        </w:rPr>
        <w:br/>
        <w:t>— остаточная стоимость основных средств, определяемая в соответствии с законодательством Российской Федерации о бухгалтерском учете, не превышает 150 млн. рублей.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240" w:afterAutospacing="0" w:line="384" w:lineRule="atLeast"/>
        <w:jc w:val="both"/>
        <w:textAlignment w:val="baseline"/>
        <w:rPr>
          <w:color w:val="666666"/>
          <w:sz w:val="28"/>
          <w:szCs w:val="28"/>
        </w:rPr>
      </w:pPr>
      <w:r w:rsidRPr="00750041">
        <w:rPr>
          <w:color w:val="666666"/>
          <w:sz w:val="28"/>
          <w:szCs w:val="28"/>
        </w:rPr>
        <w:t>Вновь созданные организации и вновь зарегистрированные индивидуальные предприниматели смогут применять АУСН с 01.07.2022 года.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240" w:afterAutospacing="0" w:line="384" w:lineRule="atLeast"/>
        <w:jc w:val="both"/>
        <w:textAlignment w:val="baseline"/>
        <w:rPr>
          <w:color w:val="666666"/>
          <w:sz w:val="28"/>
          <w:szCs w:val="28"/>
        </w:rPr>
      </w:pPr>
      <w:r w:rsidRPr="00750041">
        <w:rPr>
          <w:color w:val="666666"/>
          <w:sz w:val="28"/>
          <w:szCs w:val="28"/>
        </w:rPr>
        <w:t>Налоговая ставка с объектом налогообложения «доходы» устанавливается в размере 8 %, с объектом «доходы минус расходы» — 20 процентов.</w:t>
      </w:r>
    </w:p>
    <w:p w:rsidR="00750041" w:rsidRPr="00750041" w:rsidRDefault="00750041" w:rsidP="00750041">
      <w:pPr>
        <w:pStyle w:val="a3"/>
        <w:shd w:val="clear" w:color="auto" w:fill="FFFFFF"/>
        <w:spacing w:before="0" w:beforeAutospacing="0" w:after="240" w:afterAutospacing="0" w:line="384" w:lineRule="atLeast"/>
        <w:jc w:val="both"/>
        <w:textAlignment w:val="baseline"/>
        <w:rPr>
          <w:color w:val="666666"/>
          <w:sz w:val="28"/>
          <w:szCs w:val="28"/>
        </w:rPr>
      </w:pPr>
      <w:r w:rsidRPr="00750041">
        <w:rPr>
          <w:color w:val="666666"/>
          <w:sz w:val="28"/>
          <w:szCs w:val="28"/>
        </w:rPr>
        <w:t>Период проведения эксперимента — с 1 июля 2022 года до 31 декабря 2027 года включительно.</w:t>
      </w: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>Пресс-служба ИФНС России по г. Сургуту</w:t>
      </w:r>
    </w:p>
    <w:p w:rsidR="00750041" w:rsidRPr="00E73760" w:rsidRDefault="00750041" w:rsidP="0075004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 xml:space="preserve"> Ханты-Мансийского автономного округа-Югры</w:t>
      </w:r>
    </w:p>
    <w:p w:rsid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126B5" w:rsidRDefault="008126B5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126B5" w:rsidRPr="0088707C" w:rsidRDefault="008126B5" w:rsidP="008126B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8707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 направлении разъяснений по вопросам </w:t>
      </w:r>
      <w:proofErr w:type="spellStart"/>
      <w:r w:rsidRPr="0088707C">
        <w:rPr>
          <w:rFonts w:ascii="Times New Roman" w:hAnsi="Times New Roman" w:cs="Times New Roman"/>
          <w:b/>
          <w:color w:val="000000"/>
          <w:sz w:val="32"/>
          <w:szCs w:val="32"/>
        </w:rPr>
        <w:t>прослеживаемости</w:t>
      </w:r>
      <w:proofErr w:type="spellEnd"/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hAnsi="Times New Roman" w:cs="Times New Roman"/>
          <w:sz w:val="28"/>
          <w:szCs w:val="28"/>
        </w:rPr>
        <w:t>ИФНС России по г. Сургуту Ханты-Мансийского автономного округа – Югры</w:t>
      </w: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правильного применения положений законодательства о национальной системе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направляет для использования в работе обзор по наиболее часто поступающим вопросам на горячую линию ПП «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Прослеживаемость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организованной в соответствии с письмом ФНС России </w:t>
      </w:r>
      <w:r w:rsidRPr="0088707C">
        <w:rPr>
          <w:rFonts w:ascii="Times New Roman" w:hAnsi="Times New Roman" w:cs="Times New Roman"/>
          <w:sz w:val="28"/>
          <w:szCs w:val="28"/>
        </w:rPr>
        <w:t xml:space="preserve">от </w:t>
      </w:r>
      <w:r w:rsidRPr="0088707C">
        <w:rPr>
          <w:rFonts w:ascii="Times New Roman" w:hAnsi="Times New Roman" w:cs="Times New Roman"/>
          <w:color w:val="000000"/>
          <w:sz w:val="28"/>
          <w:szCs w:val="28"/>
        </w:rPr>
        <w:t>20.05.2021 № ЕА-4-15/6926@</w:t>
      </w: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вопросу получения квитанции с регистрационным номером партии товара (далее – РНПТ) от налогового органа в ответ на Уведомление об имеющихся остатках товара, подлежащего </w:t>
      </w:r>
      <w:proofErr w:type="spellStart"/>
      <w:r w:rsidRPr="0088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Уведомление об остатках), с номером, самостоятельно сформированным участником оборота товаров.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пунктом 2 Положения о национальной системе </w:t>
      </w:r>
      <w:proofErr w:type="spellStart"/>
      <w:r w:rsidRPr="0088707C">
        <w:rPr>
          <w:rFonts w:eastAsia="Times New Roman"/>
          <w:color w:val="auto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eastAsia="Times New Roman"/>
          <w:color w:val="auto"/>
          <w:sz w:val="28"/>
          <w:szCs w:val="28"/>
          <w:lang w:eastAsia="ru-RU"/>
        </w:rPr>
        <w:t xml:space="preserve">, утвержденной Постановлением Правительства Российской Федерации от 01.07.2021 № 1108, регистрационный номер партии товара (далее – РНПТ), присвоенный налогоплательщиком, состоит </w:t>
      </w:r>
      <w:r w:rsidRPr="0088707C">
        <w:rPr>
          <w:rFonts w:eastAsia="Times New Roman"/>
          <w:color w:val="auto"/>
          <w:sz w:val="28"/>
          <w:szCs w:val="28"/>
          <w:lang w:eastAsia="ru-RU"/>
        </w:rPr>
        <w:lastRenderedPageBreak/>
        <w:t>из двух частей, разделенных «</w:t>
      </w:r>
      <w:proofErr w:type="spellStart"/>
      <w:r w:rsidRPr="0088707C">
        <w:rPr>
          <w:rFonts w:eastAsia="Times New Roman"/>
          <w:color w:val="auto"/>
          <w:sz w:val="28"/>
          <w:szCs w:val="28"/>
          <w:lang w:eastAsia="ru-RU"/>
        </w:rPr>
        <w:t>слэшем</w:t>
      </w:r>
      <w:proofErr w:type="spellEnd"/>
      <w:r w:rsidRPr="0088707C">
        <w:rPr>
          <w:rFonts w:eastAsia="Times New Roman"/>
          <w:color w:val="auto"/>
          <w:sz w:val="28"/>
          <w:szCs w:val="28"/>
          <w:lang w:eastAsia="ru-RU"/>
        </w:rPr>
        <w:t>», и должен соответствовать следующей форме: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- часть 1 содержит 23 символа (текстовое значение) в виде: 9999NNNN/DDMMYY/NNNNNNN, где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• 9999NNNN – цифровой код, содержащий:</w:t>
      </w:r>
    </w:p>
    <w:p w:rsidR="008126B5" w:rsidRPr="0088707C" w:rsidRDefault="008126B5" w:rsidP="008126B5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- 9999 – специальный индекс (присвоен ФНС России);</w:t>
      </w:r>
    </w:p>
    <w:p w:rsidR="008126B5" w:rsidRPr="0088707C" w:rsidRDefault="008126B5" w:rsidP="008126B5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- NNNN – код налогового органа по месту постановки на учет налогоплательщика, направившего уведомление;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• DDMMYY – дата генерации РНПТ (день, месяц, две последние цифры года);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• NNNNNNN – порядковый номер РНПТ за сутки, должен быть больше 0;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 xml:space="preserve">- часть 2 содержит 3 символа (цифровое значение) в виде: </w:t>
      </w:r>
    </w:p>
    <w:p w:rsidR="008126B5" w:rsidRPr="0088707C" w:rsidRDefault="008126B5" w:rsidP="008126B5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NNN - порядковый номер за сутки.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>Общий вид: 9999NNNN/DDMMYY/NNNNNNN/NNN.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8707C">
        <w:rPr>
          <w:rFonts w:eastAsia="Times New Roman"/>
          <w:color w:val="auto"/>
          <w:sz w:val="28"/>
          <w:szCs w:val="28"/>
          <w:lang w:eastAsia="ru-RU"/>
        </w:rPr>
        <w:t xml:space="preserve">РНПТ, </w:t>
      </w:r>
      <w:proofErr w:type="gramStart"/>
      <w:r w:rsidRPr="0088707C">
        <w:rPr>
          <w:rFonts w:eastAsia="Times New Roman"/>
          <w:color w:val="auto"/>
          <w:sz w:val="28"/>
          <w:szCs w:val="28"/>
          <w:lang w:eastAsia="ru-RU"/>
        </w:rPr>
        <w:t>указанный</w:t>
      </w:r>
      <w:proofErr w:type="gramEnd"/>
      <w:r w:rsidRPr="0088707C">
        <w:rPr>
          <w:rFonts w:eastAsia="Times New Roman"/>
          <w:color w:val="auto"/>
          <w:sz w:val="28"/>
          <w:szCs w:val="28"/>
          <w:lang w:eastAsia="ru-RU"/>
        </w:rPr>
        <w:t xml:space="preserve"> в Уведомлении об остатках, сопоставляется с номером декларации на товары. В случае несовпадения сведений в Уведомлении об остатках (ТН ВЭД, количество) присваивается </w:t>
      </w:r>
      <w:proofErr w:type="gramStart"/>
      <w:r w:rsidRPr="0088707C">
        <w:rPr>
          <w:rFonts w:eastAsia="Times New Roman"/>
          <w:color w:val="auto"/>
          <w:sz w:val="28"/>
          <w:szCs w:val="28"/>
          <w:lang w:eastAsia="ru-RU"/>
        </w:rPr>
        <w:t>новый</w:t>
      </w:r>
      <w:proofErr w:type="gramEnd"/>
      <w:r w:rsidRPr="0088707C">
        <w:rPr>
          <w:rFonts w:eastAsia="Times New Roman"/>
          <w:color w:val="auto"/>
          <w:sz w:val="28"/>
          <w:szCs w:val="28"/>
          <w:lang w:eastAsia="ru-RU"/>
        </w:rPr>
        <w:t xml:space="preserve"> РНПТ, отличный от указанного. Вместе с тем, количество символов во второй части РНПТ не влечет присвоение нового РНПТ.</w:t>
      </w:r>
    </w:p>
    <w:p w:rsidR="008126B5" w:rsidRPr="0088707C" w:rsidRDefault="008126B5" w:rsidP="008126B5">
      <w:pPr>
        <w:pStyle w:val="Default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88707C">
        <w:rPr>
          <w:rFonts w:eastAsia="Times New Roman"/>
          <w:b/>
          <w:sz w:val="28"/>
          <w:szCs w:val="28"/>
          <w:lang w:eastAsia="ru-RU"/>
        </w:rPr>
        <w:t xml:space="preserve">По вопросу формирования обращений для проверки РНПТ в сервисе «Открытых </w:t>
      </w:r>
      <w:r w:rsidRPr="0088707C">
        <w:rPr>
          <w:rFonts w:eastAsia="Times New Roman"/>
          <w:b/>
          <w:sz w:val="28"/>
          <w:szCs w:val="28"/>
          <w:lang w:val="en-US" w:eastAsia="ru-RU"/>
        </w:rPr>
        <w:t>API</w:t>
      </w:r>
      <w:r w:rsidRPr="0088707C">
        <w:rPr>
          <w:rFonts w:eastAsia="Times New Roman"/>
          <w:b/>
          <w:sz w:val="28"/>
          <w:szCs w:val="28"/>
          <w:lang w:eastAsia="ru-RU"/>
        </w:rPr>
        <w:t>».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проверки РНПТ участники оборота товаров формируют обращения в сервис «Открытых API». </w:t>
      </w:r>
      <w:proofErr w:type="gram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«Открытым API» предоставляется путем выдачи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мастер-токена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адреса сервиса, к которому предоставляется доступ.</w:t>
      </w:r>
      <w:proofErr w:type="gram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предоставляется по запросу в ФНС России на адрес: </w:t>
      </w:r>
      <w:hyperlink r:id="rId5" w:history="1"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fnstokenpros</w:t>
        </w:r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tax</w:t>
        </w:r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8707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88707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подключения сервиса проверки РНПТ к </w:t>
      </w:r>
      <w:r w:rsidRPr="0088707C"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ru-RU"/>
        </w:rPr>
        <w:t>API</w:t>
      </w:r>
      <w:r w:rsidRPr="0088707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расположена на сайте </w:t>
      </w: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ФНС России в разделе «Национальная система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импортных товаров» (Электронные сервисы / Проверка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/ Документы для разработчиков учетных систем).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сервисе «Открытых API» установлен лимит на количество запросов в сутки в размере 1000, один запрос может содержать до 100 РНПТ. Счетчик запросов обновляется в 00:00 часов по московскому времени.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направления участникам оборота товаров информационных писем, содержащих сведения о рисках, расхождениях и противоречиях.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п.3.2 Рекомендаций по осуществлению налогового контроля с использованием национальной системы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(письмо ФНС России от 03.12.2021 № ЕА-4-15/16911@) (далее – Рекомендации), выявление рисков, расхождений, противоречий, которые могут свидетельствовать о возможном нарушении законодательства о налогах и сборах, осуществляется ПП «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Прослеживаемость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автоматически.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анализа сведений, отраженных в документах, предусмотренных национальной системой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участникам оборота товаров в </w:t>
      </w: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автоматическом режиме направляются информационные письма (п.3.3.1 Рекомендаций). Номера кодов, перечисленных в п.3.2.1 Рекомендаций, для направления в информационных письмах установлены ФНС России в Инструкции на рабочее место ТП 121.00.00.00.0010 «Автоматизированный </w:t>
      </w:r>
      <w:proofErr w:type="gram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 импортных товаров» (далее – ИРМ-35.01).</w:t>
      </w:r>
    </w:p>
    <w:p w:rsidR="008126B5" w:rsidRPr="0088707C" w:rsidRDefault="008126B5" w:rsidP="008126B5">
      <w:pPr>
        <w:pStyle w:val="a9"/>
        <w:ind w:firstLine="567"/>
        <w:jc w:val="both"/>
        <w:rPr>
          <w:szCs w:val="28"/>
        </w:rPr>
      </w:pPr>
      <w:proofErr w:type="gramStart"/>
      <w:r w:rsidRPr="0088707C">
        <w:rPr>
          <w:szCs w:val="28"/>
        </w:rPr>
        <w:t>ИРМ-35.01 доведена Управлениям ФНС России по субъектам Российской Федерации, Межрегиональным инспекциям ФНС России по крупнейшим налогоплательщикам письмом от 28.07.2021 № 15-3-05/0137@, также расположена в Глоссарии ФНС России («База знаний по техпроцессам / Каталог: инструкции на рабочие места (ИРМ) / 56.</w:t>
      </w:r>
      <w:proofErr w:type="gramEnd"/>
      <w:r w:rsidRPr="0088707C">
        <w:rPr>
          <w:szCs w:val="28"/>
        </w:rPr>
        <w:t xml:space="preserve"> </w:t>
      </w:r>
      <w:proofErr w:type="spellStart"/>
      <w:proofErr w:type="gramStart"/>
      <w:r w:rsidRPr="0088707C">
        <w:rPr>
          <w:szCs w:val="28"/>
        </w:rPr>
        <w:t>Прослеживаемость</w:t>
      </w:r>
      <w:proofErr w:type="spellEnd"/>
      <w:r w:rsidRPr="0088707C">
        <w:rPr>
          <w:szCs w:val="28"/>
        </w:rPr>
        <w:t xml:space="preserve"> товаров» по адресу: http://wiki.tax.nalog.ru/).</w:t>
      </w:r>
      <w:proofErr w:type="gramEnd"/>
    </w:p>
    <w:p w:rsidR="008126B5" w:rsidRPr="0088707C" w:rsidRDefault="008126B5" w:rsidP="008126B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88707C">
        <w:rPr>
          <w:b/>
          <w:bCs/>
          <w:sz w:val="28"/>
          <w:szCs w:val="28"/>
        </w:rPr>
        <w:t>По вопросу отработки налоговыми органами риска «Завышенная стоимость реализации».</w:t>
      </w:r>
    </w:p>
    <w:p w:rsidR="008126B5" w:rsidRPr="0088707C" w:rsidRDefault="008126B5" w:rsidP="008126B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7.1.5, 7.1.6 и 7.1.7 части 2 ИРМ-35.01 расхождениям, рискам, и противоречиям присвоены коды. Риску «Завышенная стоимость реализации» присвоен код «204».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п.3.2.3 Рекомендаций для проведения мероприятий налогового контроля в информационно-аналитическую систему контрольного блока АИС «Налог-3» ФНС России передается информация о рисках, имеющих налоговую составляющую. </w:t>
      </w:r>
      <w:r w:rsidRPr="0088707C">
        <w:rPr>
          <w:rFonts w:ascii="Times New Roman" w:hAnsi="Times New Roman" w:cs="Times New Roman"/>
          <w:sz w:val="28"/>
          <w:szCs w:val="28"/>
        </w:rPr>
        <w:t>В отношении участников оборота товаров, по которым выявлены риски с налоговой составляющей, рекомендовано проводить соответствующие мероприятия налогового контроля (перечислены в пункте 3.3.2 Рекомендаций), с учетом оценки выявленных рисков.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текущей версии ПП «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Прослеживаемость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сведения о риске с кодом 204 «Завышенная стоимость реализации» в составе информационных писем участникам оборота товаров не направляются.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переноса срока вступления в силу изменений в КоАП РФ в части административной ответственности по правонарушениям, связанным с предоставлением документов и сведений о прослеживаемых товарах.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поддержки бизнеса, а также повышения устойчивости экономики Российской Федерации ФНС России совместно с Минфином России предложили перенести срок вступления проекта федерального закона об установлении ответственности участников оборота прослеживаемых товаров за нарушение законодательства на 1 января 2024 года. Таким образом, по решению Аппарата Правительства Российской Федерации законопроект исключен из плана законопроектной деятельности Правительства Российской Федерации на 2022 год и вошел в его редакцию на 2023 год.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законопроект устанавливает порядок реализации правил оформления и выставления документов, предусмотренных законодательством по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товаров. Подробнее ознакомиться с его проектом можно на сайте ФНС России в разделе «Национальная система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импортных товаров» (проекты нормативных актов).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от 19.05.2022 о переносе сроков ответственности за нарушения </w:t>
      </w:r>
      <w:proofErr w:type="spellStart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88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на 2024 год расположена в разделе «Новости» сайта ФНС России.</w:t>
      </w:r>
    </w:p>
    <w:p w:rsidR="008126B5" w:rsidRPr="0088707C" w:rsidRDefault="008126B5" w:rsidP="008126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6B5" w:rsidRPr="0088707C" w:rsidRDefault="008126B5" w:rsidP="00812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6B5" w:rsidRPr="00750041" w:rsidRDefault="008126B5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126B5" w:rsidRPr="00E73760" w:rsidRDefault="00750041" w:rsidP="008126B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0041">
        <w:rPr>
          <w:rFonts w:ascii="Times New Roman" w:hAnsi="Times New Roman" w:cs="Times New Roman"/>
          <w:sz w:val="28"/>
          <w:szCs w:val="28"/>
        </w:rPr>
        <w:t> </w:t>
      </w:r>
      <w:r w:rsidR="008126B5" w:rsidRPr="00E73760">
        <w:rPr>
          <w:rFonts w:ascii="Times New Roman" w:hAnsi="Times New Roman" w:cs="Times New Roman"/>
          <w:i/>
          <w:sz w:val="28"/>
          <w:szCs w:val="28"/>
        </w:rPr>
        <w:t>Пресс-служба ИФНС России по г. Сургуту</w:t>
      </w:r>
    </w:p>
    <w:p w:rsidR="008126B5" w:rsidRPr="00E73760" w:rsidRDefault="008126B5" w:rsidP="008126B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760">
        <w:rPr>
          <w:rFonts w:ascii="Times New Roman" w:hAnsi="Times New Roman" w:cs="Times New Roman"/>
          <w:i/>
          <w:sz w:val="28"/>
          <w:szCs w:val="28"/>
        </w:rPr>
        <w:t xml:space="preserve"> Ханты-Мансийского автономного округа-Югры</w:t>
      </w:r>
    </w:p>
    <w:p w:rsidR="00750041" w:rsidRPr="00750041" w:rsidRDefault="00750041" w:rsidP="0075004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041" w:rsidRPr="00750041" w:rsidRDefault="00222D1D" w:rsidP="0075004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tooltip="Мой Мир" w:history="1">
        <w:r w:rsidR="00750041" w:rsidRPr="00750041">
          <w:rPr>
            <w:rFonts w:ascii="Times New Roman" w:hAnsi="Times New Roman" w:cs="Times New Roman"/>
            <w:color w:val="0066B3"/>
            <w:sz w:val="28"/>
            <w:szCs w:val="28"/>
            <w:u w:val="single"/>
            <w:shd w:val="clear" w:color="auto" w:fill="226EB7"/>
          </w:rPr>
          <w:br/>
        </w:r>
      </w:hyperlink>
    </w:p>
    <w:sectPr w:rsidR="00750041" w:rsidRPr="00750041" w:rsidSect="0022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923"/>
    <w:multiLevelType w:val="multilevel"/>
    <w:tmpl w:val="5C90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F62FF"/>
    <w:multiLevelType w:val="multilevel"/>
    <w:tmpl w:val="596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91F6D"/>
    <w:multiLevelType w:val="hybridMultilevel"/>
    <w:tmpl w:val="E5CAF63E"/>
    <w:lvl w:ilvl="0" w:tplc="81B2EF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584376"/>
    <w:multiLevelType w:val="multilevel"/>
    <w:tmpl w:val="6F1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245C7"/>
    <w:multiLevelType w:val="multilevel"/>
    <w:tmpl w:val="432A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221F4"/>
    <w:multiLevelType w:val="multilevel"/>
    <w:tmpl w:val="9E7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643B4"/>
    <w:multiLevelType w:val="multilevel"/>
    <w:tmpl w:val="014E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B3142"/>
    <w:multiLevelType w:val="multilevel"/>
    <w:tmpl w:val="D95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97B5F"/>
    <w:multiLevelType w:val="multilevel"/>
    <w:tmpl w:val="6F92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3717C"/>
    <w:multiLevelType w:val="multilevel"/>
    <w:tmpl w:val="FCD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2782B"/>
    <w:multiLevelType w:val="multilevel"/>
    <w:tmpl w:val="A12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A5539"/>
    <w:multiLevelType w:val="multilevel"/>
    <w:tmpl w:val="4B1A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8E174E"/>
    <w:multiLevelType w:val="multilevel"/>
    <w:tmpl w:val="678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3690C"/>
    <w:multiLevelType w:val="hybridMultilevel"/>
    <w:tmpl w:val="744AB02C"/>
    <w:lvl w:ilvl="0" w:tplc="17CA1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1A6E8A"/>
    <w:multiLevelType w:val="multilevel"/>
    <w:tmpl w:val="0968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464CA5"/>
    <w:multiLevelType w:val="multilevel"/>
    <w:tmpl w:val="10F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3F072B"/>
    <w:multiLevelType w:val="multilevel"/>
    <w:tmpl w:val="4C9A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F6801"/>
    <w:multiLevelType w:val="multilevel"/>
    <w:tmpl w:val="74A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A60758"/>
    <w:multiLevelType w:val="multilevel"/>
    <w:tmpl w:val="B81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F7C4C"/>
    <w:multiLevelType w:val="multilevel"/>
    <w:tmpl w:val="6CCA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5D5D92"/>
    <w:multiLevelType w:val="multilevel"/>
    <w:tmpl w:val="E0D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C7C09"/>
    <w:multiLevelType w:val="hybridMultilevel"/>
    <w:tmpl w:val="09EE5564"/>
    <w:lvl w:ilvl="0" w:tplc="487A0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12"/>
  </w:num>
  <w:num w:numId="5">
    <w:abstractNumId w:val="6"/>
  </w:num>
  <w:num w:numId="6">
    <w:abstractNumId w:val="17"/>
  </w:num>
  <w:num w:numId="7">
    <w:abstractNumId w:val="10"/>
  </w:num>
  <w:num w:numId="8">
    <w:abstractNumId w:val="1"/>
  </w:num>
  <w:num w:numId="9">
    <w:abstractNumId w:val="14"/>
  </w:num>
  <w:num w:numId="10">
    <w:abstractNumId w:val="16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  <w:num w:numId="16">
    <w:abstractNumId w:val="20"/>
  </w:num>
  <w:num w:numId="17">
    <w:abstractNumId w:val="11"/>
  </w:num>
  <w:num w:numId="18">
    <w:abstractNumId w:val="21"/>
  </w:num>
  <w:num w:numId="19">
    <w:abstractNumId w:val="13"/>
  </w:num>
  <w:num w:numId="20">
    <w:abstractNumId w:val="2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59AC"/>
    <w:rsid w:val="00222D1D"/>
    <w:rsid w:val="002D59AC"/>
    <w:rsid w:val="003177A2"/>
    <w:rsid w:val="00750041"/>
    <w:rsid w:val="008126B5"/>
    <w:rsid w:val="00905B87"/>
    <w:rsid w:val="00B23C58"/>
    <w:rsid w:val="00FA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1D"/>
  </w:style>
  <w:style w:type="paragraph" w:styleId="1">
    <w:name w:val="heading 1"/>
    <w:basedOn w:val="a"/>
    <w:link w:val="10"/>
    <w:uiPriority w:val="9"/>
    <w:qFormat/>
    <w:rsid w:val="00317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7A2"/>
    <w:rPr>
      <w:b/>
      <w:bCs/>
    </w:rPr>
  </w:style>
  <w:style w:type="character" w:styleId="a5">
    <w:name w:val="Hyperlink"/>
    <w:basedOn w:val="a0"/>
    <w:uiPriority w:val="99"/>
    <w:semiHidden/>
    <w:unhideWhenUsed/>
    <w:rsid w:val="003177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5B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B87"/>
    <w:rPr>
      <w:rFonts w:ascii="Tahoma" w:hAnsi="Tahoma" w:cs="Tahoma"/>
      <w:sz w:val="16"/>
      <w:szCs w:val="16"/>
    </w:rPr>
  </w:style>
  <w:style w:type="character" w:customStyle="1" w:styleId="b-share-btnwrap">
    <w:name w:val="b-share-btn__wrap"/>
    <w:basedOn w:val="a0"/>
    <w:rsid w:val="00750041"/>
  </w:style>
  <w:style w:type="paragraph" w:customStyle="1" w:styleId="post-byline">
    <w:name w:val="post-byline"/>
    <w:basedOn w:val="a"/>
    <w:rsid w:val="0075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8126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126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12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7A2"/>
    <w:rPr>
      <w:b/>
      <w:bCs/>
    </w:rPr>
  </w:style>
  <w:style w:type="character" w:styleId="a5">
    <w:name w:val="Hyperlink"/>
    <w:basedOn w:val="a0"/>
    <w:uiPriority w:val="99"/>
    <w:semiHidden/>
    <w:unhideWhenUsed/>
    <w:rsid w:val="003177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5B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B87"/>
    <w:rPr>
      <w:rFonts w:ascii="Tahoma" w:hAnsi="Tahoma" w:cs="Tahoma"/>
      <w:sz w:val="16"/>
      <w:szCs w:val="16"/>
    </w:rPr>
  </w:style>
  <w:style w:type="character" w:customStyle="1" w:styleId="b-share-btnwrap">
    <w:name w:val="b-share-btn__wrap"/>
    <w:basedOn w:val="a0"/>
    <w:rsid w:val="00750041"/>
  </w:style>
  <w:style w:type="paragraph" w:customStyle="1" w:styleId="post-byline">
    <w:name w:val="post-byline"/>
    <w:basedOn w:val="a"/>
    <w:rsid w:val="0075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8126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126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12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30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314362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6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70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8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179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3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98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0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8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55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94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39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75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39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2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9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68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6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63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0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7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97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9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8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31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moimir&amp;url=https%3A%2F%2Fwww.nalog.gov.ru%2Frn77%2Fnews%2Factivities_fts%2F12257580%2F&amp;title=%D0%92%D0%A2%D0%91%20%D0%BF%D1%80%D0%B8%D1%81%D0%BE%D0%B5%D0%B4%D0%B8%D0%BD%D0%B8%D0%BB%D1%81%D1%8F%20%D0%BA%20%D1%8D%D0%BA%D1%81%D0%BF%D0%B5%D1%80%D0%B8%D0%BC%D0%B5%D0%BD%D1%82%D1%83%20%D0%BF%D0%BE%20%D0%B0%D0%BF%D1%80%D0%BE%D0%B1%D0%B0%D1%86%D0%B8%D0%B8%20%D1%82%D0%B5%D1%85%D0%BD%D0%BE%D0%BB%D0%BE%D0%B3%D0%B8%D0%B8%20%D0%BE%D0%B1%D0%BC%D0%B5%D0%BD%D0%B0%20%D0%BC%D0%B0%D1%88%D0%B8%D0%BD%D0%BE%D1%87%D0%B8%D1%82%D0%B0%D0%B5%D0%BC%D1%8B%D0%BC%D0%B8%20%D0%B4%D0%BE%D0%B2%D0%B5%D1%80%D0%B5%D0%BD%D0%BD%D0%BE%D1%81%D1%82%D1%8F%D0%BC%D0%B8%20%D0%A4%D0%9D%D0%A1%20%D0%A0%D0%BE%D1%81%D1%81%D0%B8%D0%B8%20%7C%20%D0%A4%D0%9D%D0%A1%20%D0%A0%D0%BE%D1%81%D1%81%D0%B8%D0%B8%20%7C%2077%20%D0%B3%D0%BE%D1%80%D0%BE%D0%B4%20%D0%9C%D0%BE%D1%81%D0%BA%D0%B2%D0%B0" TargetMode="External"/><Relationship Id="rId5" Type="http://schemas.openxmlformats.org/officeDocument/2006/relationships/hyperlink" Target="mailto:fnstokenpros@tax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</dc:creator>
  <cp:lastModifiedBy>User</cp:lastModifiedBy>
  <cp:revision>2</cp:revision>
  <dcterms:created xsi:type="dcterms:W3CDTF">2022-06-08T04:43:00Z</dcterms:created>
  <dcterms:modified xsi:type="dcterms:W3CDTF">2022-06-08T04:43:00Z</dcterms:modified>
</cp:coreProperties>
</file>